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  <w:r>
        <w:rPr>
          <w:rFonts w:hint="eastAsia"/>
        </w:rPr>
        <w:t>附件3</w:t>
      </w:r>
    </w:p>
    <w:p>
      <w:pPr>
        <w:pStyle w:val="2"/>
        <w:rPr>
          <w:rFonts w:hint="eastAsia"/>
        </w:rPr>
      </w:pPr>
    </w:p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粒煤购销合同</w:t>
      </w:r>
    </w:p>
    <w:p>
      <w:pPr>
        <w:spacing w:line="440" w:lineRule="exact"/>
        <w:jc w:val="left"/>
        <w:rPr>
          <w:rFonts w:hint="eastAsia"/>
          <w:sz w:val="24"/>
          <w:szCs w:val="24"/>
        </w:rPr>
      </w:pPr>
    </w:p>
    <w:p>
      <w:pPr>
        <w:spacing w:line="440" w:lineRule="exact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供方：                              合同编号：                                       </w:t>
      </w:r>
    </w:p>
    <w:p>
      <w:pPr>
        <w:spacing w:line="440" w:lineRule="exact"/>
        <w:ind w:firstLine="4320" w:firstLineChars="180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签订地点：河南省安阳市龙安区岷山公司</w:t>
      </w:r>
    </w:p>
    <w:p>
      <w:pPr>
        <w:spacing w:line="440" w:lineRule="exact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需方：岷山环能高科股份公司         签订日期：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202</w:t>
      </w: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年    月    日</w:t>
      </w:r>
    </w:p>
    <w:p>
      <w:pPr>
        <w:pStyle w:val="2"/>
        <w:rPr>
          <w:rFonts w:hint="eastAsia"/>
          <w:sz w:val="24"/>
          <w:szCs w:val="24"/>
        </w:rPr>
      </w:pPr>
    </w:p>
    <w:p>
      <w:pPr>
        <w:pStyle w:val="2"/>
        <w:rPr>
          <w:rFonts w:hint="eastAsia"/>
        </w:rPr>
      </w:pPr>
      <w:r>
        <w:rPr>
          <w:rFonts w:hint="eastAsia"/>
          <w:sz w:val="24"/>
          <w:szCs w:val="24"/>
        </w:rPr>
        <w:t>供需双方本着平等自愿、协商一致的原则，签订本合同：</w:t>
      </w:r>
    </w:p>
    <w:p>
      <w:pPr>
        <w:pStyle w:val="5"/>
        <w:numPr>
          <w:ilvl w:val="0"/>
          <w:numId w:val="1"/>
        </w:numPr>
        <w:spacing w:line="440" w:lineRule="exact"/>
        <w:ind w:left="0" w:firstLine="142"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数量：</w:t>
      </w:r>
      <w:r>
        <w:rPr>
          <w:sz w:val="24"/>
          <w:szCs w:val="24"/>
        </w:rPr>
        <w:t>800</w:t>
      </w:r>
      <w:r>
        <w:rPr>
          <w:rFonts w:hint="eastAsia"/>
          <w:sz w:val="24"/>
          <w:szCs w:val="24"/>
        </w:rPr>
        <w:t>吨±10%/月</w:t>
      </w:r>
    </w:p>
    <w:p>
      <w:pPr>
        <w:pStyle w:val="5"/>
        <w:numPr>
          <w:ilvl w:val="0"/>
          <w:numId w:val="1"/>
        </w:numPr>
        <w:spacing w:line="440" w:lineRule="exact"/>
        <w:ind w:left="0" w:firstLine="142"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规格及标准：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6"/>
        <w:gridCol w:w="999"/>
        <w:gridCol w:w="1375"/>
        <w:gridCol w:w="787"/>
        <w:gridCol w:w="826"/>
        <w:gridCol w:w="963"/>
        <w:gridCol w:w="935"/>
        <w:gridCol w:w="1037"/>
        <w:gridCol w:w="10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1076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99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固定碳</w:t>
            </w:r>
          </w:p>
        </w:tc>
        <w:tc>
          <w:tcPr>
            <w:tcW w:w="137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发热量</w:t>
            </w:r>
          </w:p>
        </w:tc>
        <w:tc>
          <w:tcPr>
            <w:tcW w:w="78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水分</w:t>
            </w:r>
          </w:p>
        </w:tc>
        <w:tc>
          <w:tcPr>
            <w:tcW w:w="826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挥发份</w:t>
            </w:r>
          </w:p>
        </w:tc>
        <w:tc>
          <w:tcPr>
            <w:tcW w:w="963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灰份</w:t>
            </w:r>
          </w:p>
        </w:tc>
        <w:tc>
          <w:tcPr>
            <w:tcW w:w="93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煤矸</w:t>
            </w:r>
          </w:p>
        </w:tc>
        <w:tc>
          <w:tcPr>
            <w:tcW w:w="103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含硫量</w:t>
            </w:r>
          </w:p>
        </w:tc>
        <w:tc>
          <w:tcPr>
            <w:tcW w:w="103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颗粒度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1076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粒煤</w:t>
            </w:r>
          </w:p>
        </w:tc>
        <w:tc>
          <w:tcPr>
            <w:tcW w:w="99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Cs w:val="21"/>
              </w:rPr>
              <w:t>≥</w:t>
            </w:r>
            <w:r>
              <w:rPr>
                <w:szCs w:val="21"/>
              </w:rPr>
              <w:t>7</w:t>
            </w:r>
            <w:r>
              <w:rPr>
                <w:rFonts w:hint="eastAsia"/>
                <w:szCs w:val="21"/>
              </w:rPr>
              <w:t>8</w:t>
            </w:r>
            <w:r>
              <w:rPr>
                <w:szCs w:val="21"/>
              </w:rPr>
              <w:t>%</w:t>
            </w:r>
          </w:p>
        </w:tc>
        <w:tc>
          <w:tcPr>
            <w:tcW w:w="137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Cs w:val="21"/>
              </w:rPr>
              <w:t>≥65</w:t>
            </w:r>
            <w:r>
              <w:rPr>
                <w:rFonts w:ascii="宋体" w:hAnsi="宋体"/>
                <w:szCs w:val="21"/>
              </w:rPr>
              <w:t>00</w:t>
            </w:r>
            <w:r>
              <w:rPr>
                <w:rFonts w:hint="eastAsia" w:ascii="宋体" w:hAnsi="宋体"/>
                <w:szCs w:val="21"/>
              </w:rPr>
              <w:t>卡</w:t>
            </w:r>
          </w:p>
        </w:tc>
        <w:tc>
          <w:tcPr>
            <w:tcW w:w="78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szCs w:val="21"/>
              </w:rPr>
              <w:t>5%</w:t>
            </w:r>
          </w:p>
        </w:tc>
        <w:tc>
          <w:tcPr>
            <w:tcW w:w="826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≤8</w:t>
            </w:r>
            <w:r>
              <w:rPr>
                <w:szCs w:val="21"/>
              </w:rPr>
              <w:t>%</w:t>
            </w:r>
          </w:p>
        </w:tc>
        <w:tc>
          <w:tcPr>
            <w:tcW w:w="963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≤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4</w:t>
            </w:r>
            <w:r>
              <w:rPr>
                <w:szCs w:val="21"/>
              </w:rPr>
              <w:t>%</w:t>
            </w:r>
          </w:p>
        </w:tc>
        <w:tc>
          <w:tcPr>
            <w:tcW w:w="93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＜0.7</w:t>
            </w:r>
            <w:r>
              <w:rPr>
                <w:szCs w:val="21"/>
              </w:rPr>
              <w:t>%</w:t>
            </w:r>
          </w:p>
        </w:tc>
        <w:tc>
          <w:tcPr>
            <w:tcW w:w="103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≤0.45</w:t>
            </w:r>
            <w:r>
              <w:rPr>
                <w:szCs w:val="21"/>
              </w:rPr>
              <w:t>%</w:t>
            </w:r>
          </w:p>
        </w:tc>
        <w:tc>
          <w:tcPr>
            <w:tcW w:w="103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5</w:t>
            </w:r>
            <w:r>
              <w:rPr>
                <w:rFonts w:hint="eastAsia"/>
                <w:szCs w:val="21"/>
              </w:rPr>
              <w:t>-30cm</w:t>
            </w:r>
          </w:p>
        </w:tc>
      </w:tr>
    </w:tbl>
    <w:p>
      <w:pPr>
        <w:spacing w:line="440" w:lineRule="exact"/>
        <w:ind w:left="465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验收标准：</w:t>
      </w:r>
    </w:p>
    <w:p>
      <w:pPr>
        <w:spacing w:line="440" w:lineRule="exact"/>
        <w:ind w:left="465"/>
        <w:jc w:val="left"/>
        <w:rPr>
          <w:rFonts w:hint="eastAsia"/>
          <w:sz w:val="24"/>
          <w:szCs w:val="24"/>
        </w:rPr>
      </w:pP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、固定碳不得低于78%，每低1%扣</w:t>
      </w:r>
      <w:r>
        <w:rPr>
          <w:sz w:val="24"/>
          <w:szCs w:val="24"/>
        </w:rPr>
        <w:t>35</w:t>
      </w:r>
      <w:r>
        <w:rPr>
          <w:rFonts w:hint="eastAsia"/>
          <w:sz w:val="24"/>
          <w:szCs w:val="24"/>
        </w:rPr>
        <w:t>元/干吨，以此累加，低于70%拒收或价格另议。</w:t>
      </w:r>
    </w:p>
    <w:p>
      <w:pPr>
        <w:spacing w:line="440" w:lineRule="exact"/>
        <w:ind w:left="465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2、发热量平均低于</w:t>
      </w:r>
      <w:r>
        <w:rPr>
          <w:sz w:val="24"/>
          <w:szCs w:val="24"/>
        </w:rPr>
        <w:t>6</w:t>
      </w:r>
      <w:r>
        <w:rPr>
          <w:rFonts w:hint="eastAsia"/>
          <w:sz w:val="24"/>
          <w:szCs w:val="24"/>
        </w:rPr>
        <w:t>5</w:t>
      </w:r>
      <w:r>
        <w:rPr>
          <w:sz w:val="24"/>
          <w:szCs w:val="24"/>
        </w:rPr>
        <w:t>00</w:t>
      </w:r>
      <w:r>
        <w:rPr>
          <w:rFonts w:hint="eastAsia"/>
          <w:sz w:val="24"/>
          <w:szCs w:val="24"/>
        </w:rPr>
        <w:t>卡时，每低</w:t>
      </w:r>
      <w:r>
        <w:rPr>
          <w:sz w:val="24"/>
          <w:szCs w:val="24"/>
        </w:rPr>
        <w:t>100</w:t>
      </w:r>
      <w:r>
        <w:rPr>
          <w:rFonts w:hint="eastAsia"/>
          <w:sz w:val="24"/>
          <w:szCs w:val="24"/>
        </w:rPr>
        <w:t>卡扣</w:t>
      </w:r>
      <w:r>
        <w:rPr>
          <w:sz w:val="24"/>
          <w:szCs w:val="24"/>
        </w:rPr>
        <w:t>35</w:t>
      </w:r>
      <w:r>
        <w:rPr>
          <w:rFonts w:hint="eastAsia"/>
          <w:sz w:val="24"/>
          <w:szCs w:val="24"/>
        </w:rPr>
        <w:t>元</w:t>
      </w:r>
      <w:r>
        <w:rPr>
          <w:sz w:val="24"/>
          <w:szCs w:val="24"/>
        </w:rPr>
        <w:t>/</w:t>
      </w:r>
      <w:r>
        <w:rPr>
          <w:rFonts w:hint="eastAsia"/>
          <w:sz w:val="24"/>
          <w:szCs w:val="24"/>
        </w:rPr>
        <w:t>吨，以此累加，低于</w:t>
      </w:r>
      <w:r>
        <w:rPr>
          <w:sz w:val="24"/>
          <w:szCs w:val="24"/>
        </w:rPr>
        <w:t>6</w:t>
      </w:r>
      <w:r>
        <w:rPr>
          <w:rFonts w:hint="eastAsia"/>
          <w:sz w:val="24"/>
          <w:szCs w:val="24"/>
        </w:rPr>
        <w:t>0</w:t>
      </w:r>
      <w:r>
        <w:rPr>
          <w:sz w:val="24"/>
          <w:szCs w:val="24"/>
        </w:rPr>
        <w:t>00</w:t>
      </w:r>
      <w:r>
        <w:rPr>
          <w:rFonts w:hint="eastAsia"/>
          <w:sz w:val="24"/>
          <w:szCs w:val="24"/>
        </w:rPr>
        <w:t>卡拒收或价格另议；</w:t>
      </w:r>
    </w:p>
    <w:p>
      <w:pPr>
        <w:spacing w:line="440" w:lineRule="exact"/>
        <w:ind w:left="465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3、挥发份：挥发分大于8</w:t>
      </w:r>
      <w:r>
        <w:rPr>
          <w:sz w:val="24"/>
          <w:szCs w:val="24"/>
        </w:rPr>
        <w:t>%</w:t>
      </w:r>
      <w:r>
        <w:rPr>
          <w:rFonts w:hint="eastAsia"/>
          <w:sz w:val="24"/>
          <w:szCs w:val="24"/>
        </w:rPr>
        <w:t>，灰分大于14%每增加1%扣</w:t>
      </w:r>
      <w:r>
        <w:rPr>
          <w:sz w:val="24"/>
          <w:szCs w:val="24"/>
        </w:rPr>
        <w:t>35</w:t>
      </w:r>
      <w:r>
        <w:rPr>
          <w:rFonts w:hint="eastAsia"/>
          <w:sz w:val="24"/>
          <w:szCs w:val="24"/>
        </w:rPr>
        <w:t>元/吨（分项计算以此累加）</w:t>
      </w:r>
    </w:p>
    <w:p>
      <w:pPr>
        <w:spacing w:line="440" w:lineRule="exact"/>
        <w:ind w:left="465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4、煤矸大于0.7%时，根据现场验收实际情况进行扣减。</w:t>
      </w:r>
    </w:p>
    <w:p>
      <w:pPr>
        <w:spacing w:line="440" w:lineRule="exact"/>
        <w:ind w:left="465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5、含硫量超过0.45</w:t>
      </w:r>
      <w:r>
        <w:rPr>
          <w:sz w:val="24"/>
          <w:szCs w:val="24"/>
        </w:rPr>
        <w:t>%</w:t>
      </w:r>
      <w:r>
        <w:rPr>
          <w:rFonts w:hint="eastAsia"/>
          <w:sz w:val="24"/>
          <w:szCs w:val="24"/>
        </w:rPr>
        <w:t>，每高</w:t>
      </w:r>
      <w:r>
        <w:rPr>
          <w:sz w:val="24"/>
          <w:szCs w:val="24"/>
        </w:rPr>
        <w:t>0.</w:t>
      </w:r>
      <w:r>
        <w:rPr>
          <w:rFonts w:hint="eastAsia"/>
          <w:sz w:val="24"/>
          <w:szCs w:val="24"/>
        </w:rPr>
        <w:t>0</w:t>
      </w:r>
      <w:r>
        <w:rPr>
          <w:sz w:val="24"/>
          <w:szCs w:val="24"/>
        </w:rPr>
        <w:t>1%</w:t>
      </w:r>
      <w:r>
        <w:rPr>
          <w:rFonts w:hint="eastAsia"/>
          <w:sz w:val="24"/>
          <w:szCs w:val="24"/>
        </w:rPr>
        <w:t>扣</w:t>
      </w:r>
      <w:r>
        <w:rPr>
          <w:sz w:val="24"/>
          <w:szCs w:val="24"/>
        </w:rPr>
        <w:t>4</w:t>
      </w:r>
      <w:r>
        <w:rPr>
          <w:rFonts w:hint="eastAsia"/>
          <w:sz w:val="24"/>
          <w:szCs w:val="24"/>
        </w:rPr>
        <w:t>元</w:t>
      </w:r>
      <w:r>
        <w:rPr>
          <w:sz w:val="24"/>
          <w:szCs w:val="24"/>
        </w:rPr>
        <w:t>/</w:t>
      </w:r>
      <w:r>
        <w:rPr>
          <w:rFonts w:hint="eastAsia"/>
          <w:sz w:val="24"/>
          <w:szCs w:val="24"/>
        </w:rPr>
        <w:t>吨。</w:t>
      </w:r>
    </w:p>
    <w:p>
      <w:pPr>
        <w:pStyle w:val="2"/>
        <w:rPr>
          <w:rFonts w:hint="eastAsia"/>
          <w:u w:val="none"/>
        </w:rPr>
      </w:pPr>
      <w:r>
        <w:rPr>
          <w:rFonts w:hint="eastAsia"/>
          <w:sz w:val="24"/>
          <w:szCs w:val="24"/>
          <w:u w:val="none"/>
        </w:rPr>
        <w:t xml:space="preserve">    6、水分保留</w:t>
      </w:r>
      <w:r>
        <w:rPr>
          <w:sz w:val="24"/>
          <w:szCs w:val="24"/>
          <w:u w:val="none"/>
        </w:rPr>
        <w:t>5</w:t>
      </w:r>
      <w:r>
        <w:rPr>
          <w:rFonts w:hint="eastAsia"/>
          <w:sz w:val="24"/>
          <w:szCs w:val="24"/>
          <w:u w:val="none"/>
        </w:rPr>
        <w:t>%，超出部分按实际扣除。</w:t>
      </w:r>
    </w:p>
    <w:p>
      <w:pPr>
        <w:spacing w:line="440" w:lineRule="exact"/>
        <w:ind w:left="465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7、不得含有煤泥铁销木质等杂质，否则视实际情况，给予一定处罚。</w:t>
      </w:r>
    </w:p>
    <w:p>
      <w:pPr>
        <w:pStyle w:val="5"/>
        <w:spacing w:line="440" w:lineRule="exact"/>
        <w:ind w:left="142" w:firstLine="0"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三、供货地点：岷山环能高科股份公司仓库。</w:t>
      </w:r>
    </w:p>
    <w:p>
      <w:pPr>
        <w:pStyle w:val="5"/>
        <w:spacing w:line="440" w:lineRule="exact"/>
        <w:ind w:left="142" w:firstLine="0"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四、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运输方式及费用：散装，汽运，到厂之前费用由供方承担，货物验收前的一切风险由供方承担，与需方无关。汽运燃油车辆必须符合国五及以上排放标准，燃气车辆必须符合国六及以上排放标准，车辆总重不得超过49吨。</w:t>
      </w:r>
      <w:r>
        <w:rPr>
          <w:sz w:val="24"/>
          <w:szCs w:val="24"/>
        </w:rPr>
        <w:t xml:space="preserve">     </w:t>
      </w:r>
    </w:p>
    <w:p>
      <w:pPr>
        <w:pStyle w:val="5"/>
        <w:spacing w:line="440" w:lineRule="exact"/>
        <w:ind w:left="142" w:firstLine="0"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五、供货价格：按照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￥    元</w:t>
      </w:r>
      <w:r>
        <w:rPr>
          <w:sz w:val="24"/>
          <w:szCs w:val="24"/>
        </w:rPr>
        <w:t>/</w:t>
      </w:r>
      <w:r>
        <w:rPr>
          <w:rFonts w:hint="eastAsia"/>
          <w:sz w:val="24"/>
          <w:szCs w:val="24"/>
        </w:rPr>
        <w:t>干吨标准价（含13%增值税票），化验后按标准进行实际结算。</w:t>
      </w:r>
      <w:r>
        <w:rPr>
          <w:sz w:val="24"/>
          <w:szCs w:val="24"/>
        </w:rPr>
        <w:t xml:space="preserve">           </w:t>
      </w:r>
    </w:p>
    <w:p>
      <w:pPr>
        <w:pStyle w:val="5"/>
        <w:spacing w:line="440" w:lineRule="exact"/>
        <w:ind w:left="142" w:firstLine="0"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六、货物验收：在需方厂内检斤取样，样品均匀混合后分三份，供、需双方各留一份，留一份仲裁备用。需方质检人员在取样现场验货，如发现问题现场解决。检斤、取制样过程中，发现问题，由质检、业务部门、供应商三方共同协商解决，协商不成退货处理。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合同第二条验收指标以需方化验结果为准，如供方对化验结果有疑问，可进行仲裁，仲裁费由供方承担。</w:t>
      </w:r>
      <w:r>
        <w:rPr>
          <w:sz w:val="24"/>
          <w:szCs w:val="24"/>
        </w:rPr>
        <w:t xml:space="preserve">                          </w:t>
      </w:r>
    </w:p>
    <w:p>
      <w:pPr>
        <w:pStyle w:val="5"/>
        <w:spacing w:line="440" w:lineRule="exact"/>
        <w:ind w:left="142" w:firstLine="0"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七、结算方式及期限：供方在招标前缴纳投标保证金拾万元整，中标后投标保证金变为履约保证金。货款为到货后化验合格、开具发票后一月内结算并以银行电子承兑（半年期）付款， 如果供方提供的发票不合格，需方有权要求供方在七日内重新开具合格发票，在供方提供合格发票前，需方有权拒绝支付剩余货款并不承担违约责任。</w:t>
      </w:r>
      <w:r>
        <w:rPr>
          <w:sz w:val="24"/>
          <w:szCs w:val="24"/>
        </w:rPr>
        <w:t xml:space="preserve">                                   </w:t>
      </w:r>
    </w:p>
    <w:p>
      <w:pPr>
        <w:pStyle w:val="5"/>
        <w:spacing w:line="440" w:lineRule="exact"/>
        <w:ind w:left="142" w:firstLine="0"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八、违约责任：</w:t>
      </w:r>
      <w:r>
        <w:rPr>
          <w:sz w:val="24"/>
          <w:szCs w:val="24"/>
        </w:rPr>
        <w:t xml:space="preserve"> </w:t>
      </w:r>
    </w:p>
    <w:p>
      <w:pPr>
        <w:pStyle w:val="5"/>
        <w:spacing w:line="440" w:lineRule="exact"/>
        <w:ind w:left="142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1、供方自签订合同之日起3天内具备送货条件，按需方通知,均匀送货，需方会定期或者不定期进行采购招标，供方在供货期间必须保证需方货仓70%以上库存。如因为中标方未及时供货影响需方生产扣除全部保证金，如因为中标方供货质量问题扣除保证金1万元/次。</w:t>
      </w:r>
      <w:r>
        <w:rPr>
          <w:sz w:val="24"/>
          <w:szCs w:val="24"/>
        </w:rPr>
        <w:t xml:space="preserve">  </w:t>
      </w:r>
    </w:p>
    <w:p>
      <w:pPr>
        <w:spacing w:line="460" w:lineRule="exact"/>
        <w:ind w:firstLine="720" w:firstLineChars="3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2、若一方违约，违约方承担造成的一切损失。供方必须保证货物及发票的真实有效合法性，否则由此引起的一切经济法律责任均由供方承担，与需方无关。</w:t>
      </w:r>
    </w:p>
    <w:p>
      <w:pPr>
        <w:pStyle w:val="5"/>
        <w:spacing w:line="440" w:lineRule="exact"/>
        <w:ind w:firstLine="720" w:firstLineChars="300"/>
        <w:jc w:val="left"/>
        <w:rPr>
          <w:sz w:val="24"/>
          <w:szCs w:val="24"/>
        </w:rPr>
      </w:pPr>
      <w:r>
        <w:rPr>
          <w:rFonts w:hint="eastAsia" w:ascii="宋体" w:hAnsi="宋体"/>
          <w:sz w:val="24"/>
        </w:rPr>
        <w:t>3、如供方出现弄虚作假、偷税、漏税或虚开增值税票等违法行为,由供方承担一切法律责任并赔偿给需方造成的一切损失。</w:t>
      </w:r>
      <w:r>
        <w:rPr>
          <w:sz w:val="24"/>
          <w:szCs w:val="24"/>
        </w:rPr>
        <w:t xml:space="preserve"> </w:t>
      </w:r>
    </w:p>
    <w:p>
      <w:pPr>
        <w:pStyle w:val="5"/>
        <w:spacing w:line="440" w:lineRule="exact"/>
        <w:ind w:firstLine="720" w:firstLineChars="3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4、</w:t>
      </w:r>
      <w:r>
        <w:rPr>
          <w:rFonts w:hint="eastAsia"/>
          <w:bCs/>
          <w:sz w:val="24"/>
        </w:rPr>
        <w:t>供方未按期到货的，每延迟一天支付合同总金额</w:t>
      </w:r>
      <w:r>
        <w:rPr>
          <w:bCs/>
          <w:sz w:val="24"/>
        </w:rPr>
        <w:t>5‰</w:t>
      </w:r>
      <w:r>
        <w:rPr>
          <w:rFonts w:hint="eastAsia"/>
          <w:bCs/>
          <w:sz w:val="24"/>
        </w:rPr>
        <w:t>的违约金</w:t>
      </w:r>
      <w:r>
        <w:rPr>
          <w:bCs/>
          <w:sz w:val="24"/>
        </w:rPr>
        <w:t>给需方</w:t>
      </w:r>
      <w:r>
        <w:rPr>
          <w:rFonts w:hint="eastAsia"/>
          <w:bCs/>
          <w:sz w:val="24"/>
        </w:rPr>
        <w:t>，超过五天的需方有权利单方面解除合同，供方</w:t>
      </w:r>
      <w:r>
        <w:rPr>
          <w:bCs/>
          <w:sz w:val="24"/>
        </w:rPr>
        <w:t>支付</w:t>
      </w:r>
      <w:r>
        <w:rPr>
          <w:rFonts w:hint="eastAsia"/>
          <w:bCs/>
          <w:sz w:val="24"/>
        </w:rPr>
        <w:t>合同总金额30%的违约金</w:t>
      </w:r>
      <w:r>
        <w:rPr>
          <w:bCs/>
          <w:sz w:val="24"/>
        </w:rPr>
        <w:t>给需方</w:t>
      </w:r>
      <w:r>
        <w:rPr>
          <w:rFonts w:hint="eastAsia"/>
          <w:sz w:val="24"/>
          <w:szCs w:val="24"/>
        </w:rPr>
        <w:t>。</w:t>
      </w:r>
      <w:r>
        <w:rPr>
          <w:sz w:val="24"/>
          <w:szCs w:val="24"/>
        </w:rPr>
        <w:t xml:space="preserve">                              </w:t>
      </w:r>
    </w:p>
    <w:p>
      <w:pPr>
        <w:pStyle w:val="5"/>
        <w:spacing w:line="440" w:lineRule="exact"/>
        <w:ind w:left="142" w:firstLine="0"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九、解决合同纠纷的方式：</w:t>
      </w:r>
    </w:p>
    <w:p>
      <w:pPr>
        <w:pStyle w:val="5"/>
        <w:spacing w:line="440" w:lineRule="exact"/>
        <w:ind w:left="142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供，需双方履行合同，发生纠纷时，应本着顾全大局，相互谅解的精神及时协商解决，协商不成时到合同签订地人民法院诉讼，合同注明的联系电话、地址应为有效的联系电话、送达地址。双方以电话方式、微信、短信通知的，电话记录载明的时间视为送达时间。双方通过邮政特快专递以书面形式将任何通知寄送下述地址，自寄出第3日即视为必然已通知对方。若更换联系人、联系电话、地址须于变更后1日内通知对方，并得到对方书面认可，如未通知对方或者未经对方书面确认的，视为未变更。</w:t>
      </w:r>
      <w:r>
        <w:rPr>
          <w:sz w:val="24"/>
          <w:szCs w:val="24"/>
        </w:rPr>
        <w:t xml:space="preserve">  </w:t>
      </w:r>
    </w:p>
    <w:p>
      <w:pPr>
        <w:pStyle w:val="5"/>
        <w:spacing w:line="440" w:lineRule="exact"/>
        <w:ind w:left="142" w:firstLine="0"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十、合同有效期：本合同从2022年    月  日开始执行。</w:t>
      </w:r>
      <w:r>
        <w:rPr>
          <w:sz w:val="24"/>
          <w:szCs w:val="24"/>
        </w:rPr>
        <w:t xml:space="preserve">                                  </w:t>
      </w:r>
    </w:p>
    <w:p>
      <w:pPr>
        <w:pStyle w:val="5"/>
        <w:spacing w:line="440" w:lineRule="exact"/>
        <w:ind w:left="142" w:firstLine="0"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十一、本合同一式六份，供方两份，需方四份，本合同经双方法定代表人或委托代理人签字后生效。本合同同传真件和原件具有同等法律效力。</w:t>
      </w:r>
    </w:p>
    <w:tbl>
      <w:tblPr>
        <w:tblStyle w:val="3"/>
        <w:tblpPr w:leftFromText="180" w:rightFromText="180" w:vertAnchor="text" w:horzAnchor="page" w:tblpX="1097" w:tblpY="488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6"/>
        <w:gridCol w:w="52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4" w:hRule="exact"/>
        </w:trPr>
        <w:tc>
          <w:tcPr>
            <w:tcW w:w="4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供方</w:t>
            </w:r>
          </w:p>
          <w:p>
            <w:pPr>
              <w:snapToGrid w:val="0"/>
              <w:spacing w:line="4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单位名称：</w:t>
            </w:r>
          </w:p>
          <w:p>
            <w:pPr>
              <w:pStyle w:val="2"/>
              <w:rPr>
                <w:rFonts w:hint="eastAsia"/>
                <w:u w:val="none"/>
              </w:rPr>
            </w:pPr>
            <w:r>
              <w:rPr>
                <w:rFonts w:hint="eastAsia"/>
                <w:szCs w:val="21"/>
                <w:u w:val="none"/>
              </w:rPr>
              <w:t>税号：</w:t>
            </w:r>
          </w:p>
          <w:p>
            <w:pPr>
              <w:snapToGrid w:val="0"/>
              <w:spacing w:line="4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地址：</w:t>
            </w:r>
          </w:p>
          <w:p>
            <w:pPr>
              <w:pStyle w:val="2"/>
              <w:rPr>
                <w:rFonts w:hint="eastAsia"/>
                <w:szCs w:val="21"/>
                <w:u w:val="none"/>
              </w:rPr>
            </w:pPr>
            <w:r>
              <w:rPr>
                <w:rFonts w:hint="eastAsia"/>
                <w:szCs w:val="21"/>
                <w:u w:val="none"/>
              </w:rPr>
              <w:t>电话：</w:t>
            </w:r>
          </w:p>
          <w:p>
            <w:pPr>
              <w:pStyle w:val="2"/>
              <w:rPr>
                <w:rFonts w:hint="eastAsia"/>
                <w:szCs w:val="21"/>
                <w:u w:val="none"/>
              </w:rPr>
            </w:pPr>
            <w:r>
              <w:rPr>
                <w:rFonts w:hint="eastAsia"/>
                <w:szCs w:val="21"/>
                <w:u w:val="none"/>
              </w:rPr>
              <w:t>账号：</w:t>
            </w:r>
          </w:p>
          <w:p>
            <w:pPr>
              <w:pStyle w:val="2"/>
              <w:rPr>
                <w:rFonts w:hint="eastAsia"/>
                <w:szCs w:val="21"/>
                <w:u w:val="none"/>
              </w:rPr>
            </w:pPr>
            <w:r>
              <w:rPr>
                <w:rFonts w:hint="eastAsia"/>
                <w:szCs w:val="21"/>
                <w:u w:val="none"/>
              </w:rPr>
              <w:t>开户行：</w:t>
            </w:r>
          </w:p>
          <w:p>
            <w:pPr>
              <w:pStyle w:val="2"/>
              <w:rPr>
                <w:rFonts w:hint="eastAsia"/>
                <w:u w:val="none"/>
              </w:rPr>
            </w:pPr>
            <w:r>
              <w:rPr>
                <w:rFonts w:hint="eastAsia"/>
                <w:u w:val="none"/>
              </w:rPr>
              <w:t>法定代表人：</w:t>
            </w:r>
          </w:p>
          <w:p>
            <w:pPr>
              <w:snapToGrid w:val="0"/>
              <w:spacing w:line="4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委托人代理人：</w:t>
            </w:r>
          </w:p>
          <w:p>
            <w:pPr>
              <w:pStyle w:val="2"/>
              <w:rPr>
                <w:rFonts w:hint="eastAsia"/>
                <w:u w:val="none"/>
              </w:rPr>
            </w:pPr>
            <w:r>
              <w:rPr>
                <w:rFonts w:hint="eastAsia"/>
                <w:szCs w:val="21"/>
                <w:u w:val="none"/>
              </w:rPr>
              <w:t>合同签字盖章时间：</w:t>
            </w:r>
          </w:p>
          <w:p>
            <w:pPr>
              <w:snapToGrid w:val="0"/>
              <w:spacing w:line="400" w:lineRule="exact"/>
              <w:rPr>
                <w:color w:val="000000"/>
                <w:szCs w:val="21"/>
              </w:rPr>
            </w:pPr>
          </w:p>
        </w:tc>
        <w:tc>
          <w:tcPr>
            <w:tcW w:w="5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需方</w:t>
            </w:r>
          </w:p>
          <w:p>
            <w:pPr>
              <w:spacing w:line="3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需方：岷山环能高科股份公司 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税 号：91410500172472573E</w:t>
            </w:r>
          </w:p>
          <w:p>
            <w:pPr>
              <w:ind w:left="1260" w:hanging="1260" w:hangingChars="600"/>
              <w:rPr>
                <w:szCs w:val="21"/>
              </w:rPr>
            </w:pPr>
            <w:r>
              <w:rPr>
                <w:rFonts w:hint="eastAsia"/>
                <w:szCs w:val="21"/>
              </w:rPr>
              <w:t>地址 ：河南省安阳市龙安区太行路与龙康大道交叉口西200米路北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电话：0372-3385019</w:t>
            </w:r>
          </w:p>
          <w:p>
            <w:pPr>
              <w:spacing w:line="3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账号：00000000000931922012</w:t>
            </w:r>
          </w:p>
          <w:p>
            <w:pPr>
              <w:spacing w:line="3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开户行：河南安阳商都农村商业银行股份有限公司</w:t>
            </w:r>
          </w:p>
          <w:p>
            <w:pPr>
              <w:spacing w:line="360" w:lineRule="exact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法定代表人：何秋安   </w:t>
            </w:r>
          </w:p>
          <w:p>
            <w:pPr>
              <w:snapToGrid w:val="0"/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委托代理人：</w:t>
            </w:r>
          </w:p>
          <w:p>
            <w:pPr>
              <w:pStyle w:val="2"/>
            </w:pPr>
            <w:r>
              <w:rPr>
                <w:rFonts w:hint="eastAsia" w:hAnsi="宋体"/>
                <w:szCs w:val="21"/>
                <w:u w:val="none"/>
              </w:rPr>
              <w:t>合同签字盖章时间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AB50162"/>
    <w:multiLevelType w:val="multilevel"/>
    <w:tmpl w:val="6AB50162"/>
    <w:lvl w:ilvl="0" w:tentative="0">
      <w:start w:val="1"/>
      <w:numFmt w:val="japaneseCounting"/>
      <w:lvlText w:val="%1、"/>
      <w:lvlJc w:val="left"/>
      <w:pPr>
        <w:ind w:left="1898" w:hanging="480"/>
      </w:pPr>
      <w:rPr>
        <w:rFonts w:hint="default" w:cs="Times New Roman"/>
        <w:lang w:val="en-US"/>
      </w:rPr>
    </w:lvl>
    <w:lvl w:ilvl="1" w:tentative="0">
      <w:start w:val="1"/>
      <w:numFmt w:val="lowerLetter"/>
      <w:lvlText w:val="%2)"/>
      <w:lvlJc w:val="left"/>
      <w:pPr>
        <w:ind w:left="1305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725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145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565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985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405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825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245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zMTJkMTUyOWE0ODBkMmViNjg5MWUzMzJhNTFkNWYifQ=="/>
  </w:docVars>
  <w:rsids>
    <w:rsidRoot w:val="00000000"/>
    <w:rsid w:val="341C3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"/>
      <w:u w:val="single"/>
    </w:rPr>
  </w:style>
  <w:style w:type="paragraph" w:customStyle="1" w:styleId="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2023-04-28T07:00:08Z</dcterms:created>
  <dc:creator>86152</dc:creator>
  <cp:lastModifiedBy>斧头</cp:lastModifiedBy>
  <dcterms:modified xsi:type="dcterms:W3CDTF">2023-04-28T07:00:22Z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DAE1B0C3F966487889D16FFB6F138A29_12</vt:lpwstr>
  </property>
</Properties>
</file>