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附件2</w:t>
      </w:r>
    </w:p>
    <w:p>
      <w:pPr>
        <w:pStyle w:val="2"/>
        <w:rPr>
          <w:rFonts w:hint="eastAsia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精煤购销合同</w:t>
      </w:r>
    </w:p>
    <w:p>
      <w:pPr>
        <w:spacing w:line="440" w:lineRule="exact"/>
        <w:jc w:val="left"/>
        <w:rPr>
          <w:rFonts w:hint="eastAsia"/>
          <w:sz w:val="24"/>
          <w:szCs w:val="24"/>
        </w:rPr>
      </w:pPr>
    </w:p>
    <w:p>
      <w:pPr>
        <w:spacing w:line="440" w:lineRule="exact"/>
        <w:ind w:left="4560" w:hanging="4560" w:hangingChars="19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供方：                                合同编号：                                       签订地点：河南省安阳市龙安区岷山公司</w:t>
      </w:r>
    </w:p>
    <w:p>
      <w:pPr>
        <w:spacing w:line="440" w:lineRule="exact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需方：岷山环能高科股份公司            签订日期：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202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年    月   日</w:t>
      </w:r>
    </w:p>
    <w:p>
      <w:pPr>
        <w:pStyle w:val="2"/>
        <w:rPr>
          <w:rFonts w:hint="eastAsia"/>
          <w:sz w:val="24"/>
          <w:szCs w:val="24"/>
        </w:rPr>
      </w:pPr>
    </w:p>
    <w:p>
      <w:pPr>
        <w:pStyle w:val="2"/>
        <w:rPr>
          <w:rFonts w:hint="eastAsia"/>
        </w:rPr>
      </w:pPr>
      <w:r>
        <w:rPr>
          <w:rFonts w:hint="eastAsia"/>
          <w:sz w:val="24"/>
          <w:szCs w:val="24"/>
        </w:rPr>
        <w:t>供需双方本着平等自愿、协商一致的原则，签订本合同：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数量：</w:t>
      </w:r>
      <w:r>
        <w:rPr>
          <w:sz w:val="24"/>
          <w:szCs w:val="24"/>
        </w:rPr>
        <w:t>4000</w:t>
      </w:r>
      <w:r>
        <w:rPr>
          <w:rFonts w:hint="eastAsia"/>
          <w:sz w:val="24"/>
          <w:szCs w:val="24"/>
        </w:rPr>
        <w:t>吨±10%/月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规格及标准：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44"/>
        <w:gridCol w:w="1574"/>
        <w:gridCol w:w="901"/>
        <w:gridCol w:w="946"/>
        <w:gridCol w:w="1102"/>
        <w:gridCol w:w="1070"/>
        <w:gridCol w:w="11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23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14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固定碳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低位发热量</w:t>
            </w:r>
          </w:p>
        </w:tc>
        <w:tc>
          <w:tcPr>
            <w:tcW w:w="90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水分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挥发份</w:t>
            </w:r>
          </w:p>
        </w:tc>
        <w:tc>
          <w:tcPr>
            <w:tcW w:w="110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灰份</w:t>
            </w:r>
          </w:p>
        </w:tc>
        <w:tc>
          <w:tcPr>
            <w:tcW w:w="107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煤矸</w:t>
            </w: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含硫量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23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精煤</w:t>
            </w:r>
          </w:p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（喷吹煤）</w:t>
            </w:r>
          </w:p>
        </w:tc>
        <w:tc>
          <w:tcPr>
            <w:tcW w:w="114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≥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%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≥65</w:t>
            </w:r>
            <w:r>
              <w:rPr>
                <w:rFonts w:ascii="宋体" w:hAnsi="宋体"/>
                <w:szCs w:val="21"/>
              </w:rPr>
              <w:t>00</w:t>
            </w:r>
            <w:r>
              <w:rPr>
                <w:rFonts w:hint="eastAsia" w:ascii="宋体" w:hAnsi="宋体"/>
                <w:szCs w:val="21"/>
              </w:rPr>
              <w:t>卡</w:t>
            </w:r>
          </w:p>
        </w:tc>
        <w:tc>
          <w:tcPr>
            <w:tcW w:w="90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szCs w:val="21"/>
              </w:rPr>
              <w:t>7%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≤8.5</w:t>
            </w:r>
            <w:r>
              <w:rPr>
                <w:szCs w:val="21"/>
              </w:rPr>
              <w:t>%</w:t>
            </w:r>
          </w:p>
        </w:tc>
        <w:tc>
          <w:tcPr>
            <w:tcW w:w="1102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%</w:t>
            </w:r>
          </w:p>
        </w:tc>
        <w:tc>
          <w:tcPr>
            <w:tcW w:w="107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＜0.7</w:t>
            </w:r>
            <w:r>
              <w:rPr>
                <w:szCs w:val="21"/>
              </w:rPr>
              <w:t>%</w:t>
            </w:r>
          </w:p>
        </w:tc>
        <w:tc>
          <w:tcPr>
            <w:tcW w:w="118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≤0.45</w:t>
            </w:r>
            <w:r>
              <w:rPr>
                <w:szCs w:val="21"/>
              </w:rPr>
              <w:t>%</w:t>
            </w:r>
          </w:p>
        </w:tc>
      </w:tr>
    </w:tbl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验收标准：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、固定碳不得低于78%，每低1%扣</w:t>
      </w:r>
      <w:r>
        <w:rPr>
          <w:sz w:val="24"/>
          <w:szCs w:val="24"/>
        </w:rPr>
        <w:t>35</w:t>
      </w:r>
      <w:r>
        <w:rPr>
          <w:rFonts w:hint="eastAsia"/>
          <w:sz w:val="24"/>
          <w:szCs w:val="24"/>
        </w:rPr>
        <w:t>元/干吨，以此累加，低于70%拒收或价格另议。</w:t>
      </w:r>
    </w:p>
    <w:p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2、发热量平均低于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卡时，每低</w:t>
      </w:r>
      <w:r>
        <w:rPr>
          <w:sz w:val="24"/>
          <w:szCs w:val="24"/>
        </w:rPr>
        <w:t>100</w:t>
      </w:r>
      <w:r>
        <w:rPr>
          <w:rFonts w:hint="eastAsia"/>
          <w:sz w:val="24"/>
          <w:szCs w:val="24"/>
        </w:rPr>
        <w:t>卡扣</w:t>
      </w:r>
      <w:r>
        <w:rPr>
          <w:sz w:val="24"/>
          <w:szCs w:val="24"/>
        </w:rPr>
        <w:t>35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吨，以此累加，低于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0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</w:rPr>
        <w:t>卡拒收或价格另议；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3、挥发份：挥发分大于8.5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，灰分大于12%每增加1%扣</w:t>
      </w:r>
      <w:r>
        <w:rPr>
          <w:sz w:val="24"/>
          <w:szCs w:val="24"/>
        </w:rPr>
        <w:t>35</w:t>
      </w:r>
      <w:r>
        <w:rPr>
          <w:rFonts w:hint="eastAsia"/>
          <w:sz w:val="24"/>
          <w:szCs w:val="24"/>
        </w:rPr>
        <w:t>元/吨（分项计算以此累加）</w:t>
      </w:r>
    </w:p>
    <w:p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4、煤矸大于0.7%时，根据现场验收实际情况进行扣减。</w:t>
      </w:r>
    </w:p>
    <w:p>
      <w:pPr>
        <w:spacing w:line="440" w:lineRule="exact"/>
        <w:ind w:left="465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5、含硫量超过0.45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，每高</w:t>
      </w:r>
      <w:r>
        <w:rPr>
          <w:sz w:val="24"/>
          <w:szCs w:val="24"/>
        </w:rPr>
        <w:t>0.</w:t>
      </w:r>
      <w:r>
        <w:rPr>
          <w:rFonts w:hint="eastAsia"/>
          <w:sz w:val="24"/>
          <w:szCs w:val="24"/>
        </w:rPr>
        <w:t>01</w:t>
      </w:r>
      <w:r>
        <w:rPr>
          <w:sz w:val="24"/>
          <w:szCs w:val="24"/>
        </w:rPr>
        <w:t>%</w:t>
      </w:r>
      <w:r>
        <w:rPr>
          <w:rFonts w:hint="eastAsia"/>
          <w:sz w:val="24"/>
          <w:szCs w:val="24"/>
        </w:rPr>
        <w:t>扣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吨；</w:t>
      </w:r>
    </w:p>
    <w:p>
      <w:pPr>
        <w:pStyle w:val="2"/>
        <w:rPr>
          <w:rFonts w:hint="eastAsia"/>
          <w:u w:val="none"/>
        </w:rPr>
      </w:pPr>
      <w:r>
        <w:rPr>
          <w:rFonts w:hint="eastAsia"/>
          <w:sz w:val="24"/>
          <w:szCs w:val="24"/>
          <w:u w:val="none"/>
        </w:rPr>
        <w:t xml:space="preserve">    6、水分保留</w:t>
      </w:r>
      <w:r>
        <w:rPr>
          <w:sz w:val="24"/>
          <w:szCs w:val="24"/>
          <w:u w:val="none"/>
        </w:rPr>
        <w:t>7</w:t>
      </w:r>
      <w:r>
        <w:rPr>
          <w:rFonts w:hint="eastAsia"/>
          <w:sz w:val="24"/>
          <w:szCs w:val="24"/>
          <w:u w:val="none"/>
        </w:rPr>
        <w:t>%，超出部分按实际扣除；</w:t>
      </w:r>
    </w:p>
    <w:p>
      <w:pPr>
        <w:spacing w:line="440" w:lineRule="exact"/>
        <w:ind w:left="465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7、不得含有煤泥铁销木质等杂质，否则视实际情况，给予一定处罚。</w:t>
      </w:r>
    </w:p>
    <w:p>
      <w:pPr>
        <w:pStyle w:val="2"/>
        <w:ind w:firstLine="210" w:firstLineChars="100"/>
        <w:rPr>
          <w:rFonts w:hint="eastAsia"/>
        </w:rPr>
      </w:pPr>
      <w:r>
        <w:rPr>
          <w:u w:val="none"/>
        </w:rPr>
        <w:t xml:space="preserve">  </w:t>
      </w:r>
      <w:r>
        <w:rPr>
          <w:rFonts w:hint="eastAsia"/>
          <w:sz w:val="24"/>
          <w:szCs w:val="22"/>
          <w:u w:val="none"/>
        </w:rPr>
        <w:t>8、不得含有浮选煤粉和浮选精煤粉，否则予以拒收。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供货地点：岷山环能高科股份公司仓库。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运输方式及费用：散装，汽运，到厂之前费用由供方承担，货物验收前的一切风险由供方承担，与需方无关。汽运燃油车辆必须符合国五及以上排放标准，燃气车辆必须符合国六及以上排放标准，车辆总重不得超过49吨。</w:t>
      </w:r>
      <w:r>
        <w:rPr>
          <w:sz w:val="24"/>
          <w:szCs w:val="24"/>
        </w:rPr>
        <w:t xml:space="preserve">     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供货价格：按照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￥    元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干吨标准价（含13%增值税票），化验后按标准进行实际结算。</w:t>
      </w:r>
      <w:r>
        <w:rPr>
          <w:sz w:val="24"/>
          <w:szCs w:val="24"/>
        </w:rPr>
        <w:t xml:space="preserve">           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货物验收：在需方厂内检斤取样，样品均匀混合后分三份，供、需双方各留一份，留一份仲裁备用。需方质检人员在取样现场验货，如发现问题现场解决。检斤、取制样过程中，发现问题，由质检、业务部门、供应商三方共同协商解决，协商不成退货处理。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合同第二条验收指标以需方化验结果为准，如供方对化验结果有疑问，可进行仲裁，仲裁费由供方承担。</w:t>
      </w:r>
      <w:r>
        <w:rPr>
          <w:sz w:val="24"/>
          <w:szCs w:val="24"/>
        </w:rPr>
        <w:t xml:space="preserve">                          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结算方式及期限：供方在招标前缴纳投标保证金拾万元整，中标后投标保证金变为履约保证金。货款为到货后化验合格、开具发票后一月内结算并以银行电子承兑（半年期）付款， 如果供方提供的发票不合格，需方有权要求供方在七日内重新开具合格发票，在供方提供合格发票前，需方有权拒绝支付剩余货款并不承担违约责任。</w:t>
      </w:r>
      <w:r>
        <w:rPr>
          <w:sz w:val="24"/>
          <w:szCs w:val="24"/>
        </w:rPr>
        <w:t xml:space="preserve">                                   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违约责任：</w:t>
      </w:r>
      <w:r>
        <w:rPr>
          <w:sz w:val="24"/>
          <w:szCs w:val="24"/>
        </w:rPr>
        <w:t xml:space="preserve"> </w:t>
      </w:r>
    </w:p>
    <w:p>
      <w:pPr>
        <w:pStyle w:val="5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1、供方自签订合同之日起3天内具备送货条件，按需方通知,均匀送货，需方会定期或者不定期进行采购招标，供方在供货期间必须保证需方货仓70%以上库存。如因为中标方未及时供货影响需方生产扣除全部保证金，如因为中标方供货质量问题扣除保证金1万元/次。</w:t>
      </w:r>
      <w:r>
        <w:rPr>
          <w:sz w:val="24"/>
          <w:szCs w:val="24"/>
        </w:rPr>
        <w:t xml:space="preserve">  </w:t>
      </w:r>
    </w:p>
    <w:p>
      <w:pPr>
        <w:spacing w:line="460" w:lineRule="exact"/>
        <w:ind w:firstLine="720" w:firstLineChars="3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2、若一方违约，违约方承担造成的一切损失。供方必须保证货物及发票的真实有效合法性，否则由此引起的一切经济法律责任均由供方承担，与需方无关。</w:t>
      </w:r>
    </w:p>
    <w:p>
      <w:pPr>
        <w:pStyle w:val="5"/>
        <w:spacing w:line="440" w:lineRule="exact"/>
        <w:ind w:firstLine="720" w:firstLineChars="3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3、如供方出现弄虚作假、偷税、漏税或虚开增值税票等违法行为,由供方承担一切法律责任并赔偿给需方造成的一切损失。</w:t>
      </w:r>
    </w:p>
    <w:p>
      <w:pPr>
        <w:pStyle w:val="5"/>
        <w:spacing w:line="440" w:lineRule="exact"/>
        <w:ind w:firstLine="720" w:firstLineChars="300"/>
        <w:jc w:val="left"/>
        <w:rPr>
          <w:sz w:val="24"/>
          <w:szCs w:val="24"/>
        </w:rPr>
      </w:pPr>
      <w:r>
        <w:rPr>
          <w:rFonts w:hint="eastAsia" w:ascii="宋体" w:hAnsi="宋体"/>
          <w:sz w:val="24"/>
        </w:rPr>
        <w:t>4</w:t>
      </w:r>
      <w:r>
        <w:rPr>
          <w:bCs/>
          <w:sz w:val="24"/>
        </w:rPr>
        <w:t>、</w:t>
      </w:r>
      <w:r>
        <w:rPr>
          <w:rFonts w:hint="eastAsia"/>
          <w:bCs/>
          <w:sz w:val="24"/>
        </w:rPr>
        <w:t>供方未按期到货的，每延迟一天支付合同总金额</w:t>
      </w:r>
      <w:r>
        <w:rPr>
          <w:bCs/>
          <w:sz w:val="24"/>
        </w:rPr>
        <w:t>5‰</w:t>
      </w:r>
      <w:r>
        <w:rPr>
          <w:rFonts w:hint="eastAsia"/>
          <w:bCs/>
          <w:sz w:val="24"/>
        </w:rPr>
        <w:t>的违约金</w:t>
      </w:r>
      <w:r>
        <w:rPr>
          <w:bCs/>
          <w:sz w:val="24"/>
        </w:rPr>
        <w:t>给需方</w:t>
      </w:r>
      <w:r>
        <w:rPr>
          <w:rFonts w:hint="eastAsia"/>
          <w:bCs/>
          <w:sz w:val="24"/>
        </w:rPr>
        <w:t>，超过五天的需方有权利单方面解除合同，供方</w:t>
      </w:r>
      <w:r>
        <w:rPr>
          <w:bCs/>
          <w:sz w:val="24"/>
        </w:rPr>
        <w:t>支付</w:t>
      </w:r>
      <w:r>
        <w:rPr>
          <w:rFonts w:hint="eastAsia"/>
          <w:bCs/>
          <w:sz w:val="24"/>
        </w:rPr>
        <w:t>合同总金额30%的违约金</w:t>
      </w:r>
      <w:r>
        <w:rPr>
          <w:bCs/>
          <w:sz w:val="24"/>
        </w:rPr>
        <w:t>给需方</w:t>
      </w:r>
      <w:r>
        <w:rPr>
          <w:sz w:val="24"/>
          <w:szCs w:val="24"/>
        </w:rPr>
        <w:t xml:space="preserve">                                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解决合同纠纷的方式：</w:t>
      </w:r>
    </w:p>
    <w:p>
      <w:pPr>
        <w:pStyle w:val="5"/>
        <w:spacing w:line="440" w:lineRule="exact"/>
        <w:ind w:left="142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供，需双方履行合同，发生纠纷时，应本着顾全大局，相互谅解的精神及时协商解决，协商不成时到合同签订地人民法院诉讼，合同注明的联系电话、地址应为有效的联系电话、送达地址。双方以电话方式、微信、短信通知的，电话记录载明的时间视为送达时间。双方通过邮政特快专递以书面形式将任何通知寄送下述地址，自寄出第3日即视为必然已通知对方。若更换联系人、联系电话、地址须于变更后1日内通知对方，并得到对方书面认可，如未通知对方或者未经对方书面确认的，视为未变更。</w:t>
      </w:r>
      <w:r>
        <w:rPr>
          <w:sz w:val="24"/>
          <w:szCs w:val="24"/>
        </w:rPr>
        <w:t xml:space="preserve">  </w:t>
      </w:r>
    </w:p>
    <w:p>
      <w:pPr>
        <w:pStyle w:val="5"/>
        <w:numPr>
          <w:ilvl w:val="0"/>
          <w:numId w:val="1"/>
        </w:numPr>
        <w:spacing w:line="440" w:lineRule="exact"/>
        <w:ind w:left="0" w:firstLine="142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合同有效期：本合同从2022年    月  日开始执行。</w:t>
      </w:r>
      <w:r>
        <w:rPr>
          <w:sz w:val="24"/>
          <w:szCs w:val="24"/>
        </w:rPr>
        <w:t xml:space="preserve">                                  </w:t>
      </w:r>
    </w:p>
    <w:p>
      <w:pPr>
        <w:pStyle w:val="5"/>
        <w:numPr>
          <w:ilvl w:val="0"/>
          <w:numId w:val="1"/>
        </w:numPr>
        <w:spacing w:line="440" w:lineRule="exact"/>
        <w:ind w:left="142" w:firstLine="0" w:firstLine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本合同一式六份，供方两份，需方四份，本合同经双方法定代表人或委托代理人签字后生效。本合同同传真件和原件具有同等法律效力。</w:t>
      </w:r>
    </w:p>
    <w:tbl>
      <w:tblPr>
        <w:tblStyle w:val="3"/>
        <w:tblpPr w:leftFromText="180" w:rightFromText="180" w:vertAnchor="text" w:horzAnchor="page" w:tblpX="1097" w:tblpY="488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6"/>
        <w:gridCol w:w="5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4" w:hRule="exact"/>
        </w:trPr>
        <w:tc>
          <w:tcPr>
            <w:tcW w:w="4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供方</w:t>
            </w:r>
          </w:p>
          <w:p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单位名称：</w:t>
            </w:r>
          </w:p>
          <w:p>
            <w:pPr>
              <w:pStyle w:val="2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税号：</w:t>
            </w:r>
          </w:p>
          <w:p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地址：</w:t>
            </w:r>
          </w:p>
          <w:p>
            <w:pPr>
              <w:pStyle w:val="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电话：</w:t>
            </w:r>
          </w:p>
          <w:p>
            <w:pPr>
              <w:pStyle w:val="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账号：</w:t>
            </w:r>
          </w:p>
          <w:p>
            <w:pPr>
              <w:pStyle w:val="2"/>
              <w:rPr>
                <w:rFonts w:hint="eastAsia"/>
                <w:szCs w:val="21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开户行：</w:t>
            </w:r>
          </w:p>
          <w:p>
            <w:pPr>
              <w:pStyle w:val="2"/>
              <w:rPr>
                <w:rFonts w:hint="eastAsia"/>
                <w:u w:val="none"/>
              </w:rPr>
            </w:pPr>
            <w:r>
              <w:rPr>
                <w:rFonts w:hint="eastAsia"/>
                <w:u w:val="none"/>
              </w:rPr>
              <w:t>法定代表人：</w:t>
            </w:r>
          </w:p>
          <w:p>
            <w:pPr>
              <w:snapToGrid w:val="0"/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委托人代理人：</w:t>
            </w:r>
          </w:p>
          <w:p>
            <w:pPr>
              <w:pStyle w:val="2"/>
              <w:rPr>
                <w:rFonts w:hint="eastAsia"/>
                <w:u w:val="none"/>
              </w:rPr>
            </w:pPr>
            <w:r>
              <w:rPr>
                <w:rFonts w:hint="eastAsia"/>
                <w:szCs w:val="21"/>
                <w:u w:val="none"/>
              </w:rPr>
              <w:t>合同签字盖章时间：</w:t>
            </w:r>
          </w:p>
          <w:p>
            <w:pPr>
              <w:snapToGrid w:val="0"/>
              <w:spacing w:line="400" w:lineRule="exact"/>
              <w:rPr>
                <w:color w:val="000000"/>
                <w:szCs w:val="21"/>
              </w:rPr>
            </w:pPr>
          </w:p>
        </w:tc>
        <w:tc>
          <w:tcPr>
            <w:tcW w:w="5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需方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需方：岷山环能高科股份公司 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税 号：91410500172472573E</w:t>
            </w:r>
          </w:p>
          <w:p>
            <w:pPr>
              <w:ind w:left="1260" w:hanging="1260" w:hanging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>地址 ：河南省安阳市龙安区太行路与龙康大道交叉口西200米路北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电话：0372-3385019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账号：00000000000931922012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开户行：河南安阳商都农村商业银行股份有限公司</w:t>
            </w:r>
          </w:p>
          <w:p>
            <w:pPr>
              <w:spacing w:line="36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法定代表人：何秋安   </w:t>
            </w:r>
          </w:p>
          <w:p>
            <w:pPr>
              <w:snapToGrid w:val="0"/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委托代理人：</w:t>
            </w:r>
          </w:p>
          <w:p>
            <w:pPr>
              <w:pStyle w:val="2"/>
            </w:pPr>
            <w:r>
              <w:rPr>
                <w:rFonts w:hint="eastAsia" w:hAnsi="宋体"/>
                <w:szCs w:val="21"/>
                <w:u w:val="none"/>
              </w:rPr>
              <w:t>合同签字盖章时间</w:t>
            </w:r>
          </w:p>
        </w:tc>
      </w:tr>
    </w:tbl>
    <w:p>
      <w:pPr>
        <w:spacing w:line="440" w:lineRule="exact"/>
        <w:ind w:firstLine="480" w:firstLineChars="200"/>
        <w:jc w:val="left"/>
        <w:rPr>
          <w:sz w:val="24"/>
          <w:szCs w:val="24"/>
        </w:rPr>
      </w:pPr>
    </w:p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D234F2"/>
    <w:multiLevelType w:val="multilevel"/>
    <w:tmpl w:val="07D234F2"/>
    <w:lvl w:ilvl="0" w:tentative="0">
      <w:start w:val="1"/>
      <w:numFmt w:val="japaneseCounting"/>
      <w:lvlText w:val="%1、"/>
      <w:lvlJc w:val="left"/>
      <w:pPr>
        <w:ind w:left="905" w:hanging="480"/>
      </w:pPr>
      <w:rPr>
        <w:rFonts w:hint="default" w:cs="Times New Roman"/>
        <w:lang w:val="en-US"/>
      </w:rPr>
    </w:lvl>
    <w:lvl w:ilvl="1" w:tentative="0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MTJkMTUyOWE0ODBkMmViNjg5MWUzMzJhNTFkNWYifQ=="/>
  </w:docVars>
  <w:rsids>
    <w:rsidRoot w:val="00000000"/>
    <w:rsid w:val="0ACF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"/>
      <w:u w:val="single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2023-04-28T06:59:53Z</dcterms:created>
  <dc:creator>86152</dc:creator>
  <cp:lastModifiedBy>斧头</cp:lastModifiedBy>
  <dcterms:modified xsi:type="dcterms:W3CDTF">2023-04-28T07:00:04Z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D882B856139C43D3800ABBE0082C2A3E_12</vt:lpwstr>
  </property>
</Properties>
</file>